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9A" w:rsidRPr="00FB7012" w:rsidRDefault="00AA719A" w:rsidP="00AA719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>ПРОТОКОЛ №</w:t>
      </w:r>
      <w:r w:rsidRPr="00FB7012">
        <w:rPr>
          <w:rFonts w:ascii="Times New Roman" w:hAnsi="Times New Roman"/>
          <w:sz w:val="24"/>
          <w:szCs w:val="24"/>
          <w:lang w:val="bg-BG"/>
        </w:rPr>
        <w:t>3</w:t>
      </w:r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процедура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Fonts w:ascii="Times New Roman" w:hAnsi="Times New Roman"/>
          <w:sz w:val="24"/>
          <w:szCs w:val="24"/>
          <w:lang w:val="ru-RU"/>
        </w:rPr>
        <w:t xml:space="preserve">чрез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събиране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обява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на глава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двадесет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и шеста от ЗОП с предмет: </w:t>
      </w:r>
      <w:r w:rsidRPr="00FB7012">
        <w:rPr>
          <w:rFonts w:ascii="Times New Roman" w:hAnsi="Times New Roman"/>
          <w:sz w:val="24"/>
          <w:szCs w:val="24"/>
        </w:rPr>
        <w:t>„</w:t>
      </w:r>
      <w:proofErr w:type="spellStart"/>
      <w:r w:rsidRPr="00FB7012">
        <w:rPr>
          <w:rFonts w:ascii="Times New Roman" w:hAnsi="Times New Roman"/>
          <w:sz w:val="24"/>
          <w:szCs w:val="24"/>
        </w:rPr>
        <w:t>Избор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изпълнител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упражняване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строителен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надзор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време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във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връзка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строително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монтажни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работи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проект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B7012">
        <w:rPr>
          <w:rFonts w:ascii="Times New Roman" w:hAnsi="Times New Roman"/>
          <w:sz w:val="24"/>
          <w:szCs w:val="24"/>
        </w:rPr>
        <w:t>работно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заглавие</w:t>
      </w:r>
      <w:proofErr w:type="spellEnd"/>
      <w:r w:rsidRPr="00FB7012">
        <w:rPr>
          <w:rFonts w:ascii="Times New Roman" w:hAnsi="Times New Roman"/>
          <w:sz w:val="24"/>
          <w:szCs w:val="24"/>
        </w:rPr>
        <w:t>: „</w:t>
      </w:r>
      <w:proofErr w:type="spellStart"/>
      <w:r w:rsidRPr="00FB7012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рехабилитация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тротоари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B7012">
        <w:rPr>
          <w:rFonts w:ascii="Times New Roman" w:hAnsi="Times New Roman"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012">
        <w:rPr>
          <w:rFonts w:ascii="Times New Roman" w:hAnsi="Times New Roman"/>
          <w:sz w:val="24"/>
          <w:szCs w:val="24"/>
        </w:rPr>
        <w:t>Брегово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област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Гео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Милев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Георги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Бондоков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Гоце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Делчев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Станко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Маринцестов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Лев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Толстой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B7012">
        <w:rPr>
          <w:rFonts w:ascii="Times New Roman" w:hAnsi="Times New Roman"/>
          <w:sz w:val="24"/>
          <w:szCs w:val="24"/>
        </w:rPr>
        <w:t>ул</w:t>
      </w:r>
      <w:proofErr w:type="spellEnd"/>
      <w:r w:rsidRPr="00FB7012">
        <w:rPr>
          <w:rFonts w:ascii="Times New Roman" w:hAnsi="Times New Roman"/>
          <w:sz w:val="24"/>
          <w:szCs w:val="24"/>
        </w:rPr>
        <w:t>. „</w:t>
      </w:r>
      <w:proofErr w:type="spellStart"/>
      <w:r w:rsidRPr="00FB7012">
        <w:rPr>
          <w:rFonts w:ascii="Times New Roman" w:hAnsi="Times New Roman"/>
          <w:sz w:val="24"/>
          <w:szCs w:val="24"/>
        </w:rPr>
        <w:t>Димитър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Зограф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Борис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Попарданов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Иван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Вазов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Климент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Охридски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Христо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Смирненски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„7-ми </w:t>
      </w:r>
      <w:proofErr w:type="spellStart"/>
      <w:r w:rsidRPr="00FB7012">
        <w:rPr>
          <w:rFonts w:ascii="Times New Roman" w:hAnsi="Times New Roman"/>
          <w:sz w:val="24"/>
          <w:szCs w:val="24"/>
        </w:rPr>
        <w:t>Ноември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 и </w:t>
      </w:r>
      <w:proofErr w:type="spellStart"/>
      <w:r w:rsidRPr="00FB7012">
        <w:rPr>
          <w:rFonts w:ascii="Times New Roman" w:hAnsi="Times New Roman"/>
          <w:sz w:val="24"/>
          <w:szCs w:val="24"/>
        </w:rPr>
        <w:t>улица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Дунав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“ в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проект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с ИД № 05/07/2/0/00156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подмярка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7.2. „</w:t>
      </w:r>
      <w:proofErr w:type="spellStart"/>
      <w:r w:rsidRPr="00FB7012">
        <w:rPr>
          <w:rFonts w:ascii="Times New Roman" w:hAnsi="Times New Roman"/>
          <w:sz w:val="24"/>
          <w:szCs w:val="24"/>
        </w:rPr>
        <w:t>Инвестиции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B7012">
        <w:rPr>
          <w:rFonts w:ascii="Times New Roman" w:hAnsi="Times New Roman"/>
          <w:sz w:val="24"/>
          <w:szCs w:val="24"/>
        </w:rPr>
        <w:t>създаването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подобряването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разширяването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всички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видове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малка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мащаби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инфраструктура</w:t>
      </w:r>
      <w:proofErr w:type="spellEnd"/>
      <w:proofErr w:type="gramStart"/>
      <w:r w:rsidRPr="00FB7012">
        <w:rPr>
          <w:rFonts w:ascii="Times New Roman" w:hAnsi="Times New Roman"/>
          <w:sz w:val="24"/>
          <w:szCs w:val="24"/>
        </w:rPr>
        <w:t xml:space="preserve">” 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Програмата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селските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райони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2014-2020 г. /ПРСР/, </w:t>
      </w:r>
      <w:proofErr w:type="spellStart"/>
      <w:r w:rsidRPr="00FB7012">
        <w:rPr>
          <w:rFonts w:ascii="Times New Roman" w:hAnsi="Times New Roman"/>
          <w:sz w:val="24"/>
          <w:szCs w:val="24"/>
        </w:rPr>
        <w:t>подкрепена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Европейския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фонд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селските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райони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/ЕЗФРСР/.</w:t>
      </w:r>
    </w:p>
    <w:p w:rsidR="00AA719A" w:rsidRPr="00FB7012" w:rsidRDefault="00AA719A" w:rsidP="00AA719A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A719A" w:rsidRPr="00FB7012" w:rsidRDefault="00AA719A" w:rsidP="00AA719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Днес</w:t>
      </w:r>
      <w:proofErr w:type="spellEnd"/>
      <w:r w:rsidRPr="00FB7012">
        <w:rPr>
          <w:rFonts w:ascii="Times New Roman" w:hAnsi="Times New Roman"/>
          <w:sz w:val="24"/>
          <w:szCs w:val="24"/>
          <w:lang w:val="bg-BG"/>
        </w:rPr>
        <w:t>,</w:t>
      </w:r>
      <w:r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Fonts w:ascii="Times New Roman" w:hAnsi="Times New Roman"/>
          <w:sz w:val="24"/>
          <w:szCs w:val="24"/>
          <w:lang w:val="bg-BG"/>
        </w:rPr>
        <w:t>1</w:t>
      </w:r>
      <w:r w:rsidRPr="00FB7012">
        <w:rPr>
          <w:rFonts w:ascii="Times New Roman" w:hAnsi="Times New Roman"/>
          <w:sz w:val="24"/>
          <w:szCs w:val="24"/>
        </w:rPr>
        <w:t>4.0</w:t>
      </w:r>
      <w:r w:rsidRPr="00FB7012">
        <w:rPr>
          <w:rFonts w:ascii="Times New Roman" w:hAnsi="Times New Roman"/>
          <w:sz w:val="24"/>
          <w:szCs w:val="24"/>
          <w:lang w:val="bg-BG"/>
        </w:rPr>
        <w:t>5</w:t>
      </w:r>
      <w:r w:rsidRPr="00FB7012">
        <w:rPr>
          <w:rFonts w:ascii="Times New Roman" w:hAnsi="Times New Roman"/>
          <w:sz w:val="24"/>
          <w:szCs w:val="24"/>
        </w:rPr>
        <w:t>.</w:t>
      </w:r>
      <w:r w:rsidRPr="00FB7012">
        <w:rPr>
          <w:rFonts w:ascii="Times New Roman" w:hAnsi="Times New Roman"/>
          <w:sz w:val="24"/>
          <w:szCs w:val="24"/>
          <w:lang w:val="bg-BG"/>
        </w:rPr>
        <w:t xml:space="preserve">2018г. </w:t>
      </w:r>
      <w:r w:rsidRPr="00FB7012">
        <w:rPr>
          <w:rFonts w:ascii="Times New Roman" w:hAnsi="Times New Roman"/>
          <w:sz w:val="24"/>
          <w:szCs w:val="24"/>
          <w:lang w:val="ru-RU"/>
        </w:rPr>
        <w:t xml:space="preserve">в 11,00часа </w:t>
      </w:r>
      <w:r w:rsidRPr="00FB701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B7012">
        <w:rPr>
          <w:rFonts w:ascii="Times New Roman" w:hAnsi="Times New Roman"/>
          <w:sz w:val="24"/>
          <w:szCs w:val="24"/>
        </w:rPr>
        <w:t>заседателната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зала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общинска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администрация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Брегово</w:t>
      </w:r>
      <w:proofErr w:type="spellEnd"/>
      <w:r w:rsidRPr="00FB7012">
        <w:rPr>
          <w:rFonts w:ascii="Times New Roman" w:hAnsi="Times New Roman"/>
          <w:sz w:val="24"/>
          <w:szCs w:val="24"/>
          <w:lang w:val="bg-BG"/>
        </w:rPr>
        <w:t>,</w:t>
      </w:r>
      <w:r w:rsidRPr="00FB7012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Заповед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№ 63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11.04.2018г.  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Кмет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Община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Брегово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събра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назначена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Кмет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Община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Брегово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посочената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</w:p>
    <w:p w:rsidR="00AA719A" w:rsidRPr="00FB7012" w:rsidRDefault="00AA719A" w:rsidP="00AA719A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Назначената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комисия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е в </w:t>
      </w:r>
      <w:proofErr w:type="spellStart"/>
      <w:r w:rsidRPr="00FB7012">
        <w:rPr>
          <w:rFonts w:ascii="Times New Roman" w:hAnsi="Times New Roman"/>
          <w:sz w:val="24"/>
          <w:szCs w:val="24"/>
        </w:rPr>
        <w:t>състав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Председател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7012">
        <w:rPr>
          <w:rFonts w:ascii="Times New Roman" w:hAnsi="Times New Roman"/>
          <w:sz w:val="24"/>
          <w:szCs w:val="24"/>
        </w:rPr>
        <w:t>адв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012">
        <w:rPr>
          <w:rFonts w:ascii="Times New Roman" w:hAnsi="Times New Roman"/>
          <w:sz w:val="24"/>
          <w:szCs w:val="24"/>
        </w:rPr>
        <w:t>Лилия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Станчева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юрист</w:t>
      </w:r>
      <w:proofErr w:type="spellEnd"/>
      <w:r w:rsidRPr="00FB7012">
        <w:rPr>
          <w:rFonts w:ascii="Times New Roman" w:hAnsi="Times New Roman"/>
          <w:sz w:val="24"/>
          <w:szCs w:val="24"/>
          <w:lang w:val="bg-BG"/>
        </w:rPr>
        <w:t xml:space="preserve">; </w:t>
      </w:r>
      <w:proofErr w:type="spellStart"/>
      <w:r w:rsidRPr="00FB7012">
        <w:rPr>
          <w:rFonts w:ascii="Times New Roman" w:hAnsi="Times New Roman"/>
          <w:sz w:val="24"/>
          <w:szCs w:val="24"/>
        </w:rPr>
        <w:t>Членове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:   1. </w:t>
      </w:r>
      <w:proofErr w:type="spellStart"/>
      <w:r w:rsidRPr="00FB7012">
        <w:rPr>
          <w:rFonts w:ascii="Times New Roman" w:hAnsi="Times New Roman"/>
          <w:sz w:val="24"/>
          <w:szCs w:val="24"/>
        </w:rPr>
        <w:t>Сашко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Кирилов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Димитрашков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B7012">
        <w:rPr>
          <w:rFonts w:ascii="Times New Roman" w:hAnsi="Times New Roman"/>
          <w:sz w:val="24"/>
          <w:szCs w:val="24"/>
        </w:rPr>
        <w:t>гл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специалист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„ТСУ”;  2.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Миглена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Антимова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Катраницова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гл.спец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sz w:val="24"/>
          <w:szCs w:val="24"/>
        </w:rPr>
        <w:t>„</w:t>
      </w:r>
      <w:proofErr w:type="spellStart"/>
      <w:r w:rsidRPr="00FB7012">
        <w:rPr>
          <w:rFonts w:ascii="Times New Roman" w:hAnsi="Times New Roman"/>
          <w:sz w:val="24"/>
          <w:szCs w:val="24"/>
        </w:rPr>
        <w:t>Стопански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икономическа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FB7012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FB7012">
        <w:rPr>
          <w:rFonts w:ascii="Times New Roman" w:hAnsi="Times New Roman"/>
          <w:sz w:val="24"/>
          <w:szCs w:val="24"/>
        </w:rPr>
        <w:t>”</w:t>
      </w:r>
      <w:r w:rsidRPr="00FB7012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C47E60" w:rsidRPr="00FB7012" w:rsidRDefault="00C47E60" w:rsidP="00C47E60">
      <w:pPr>
        <w:jc w:val="both"/>
        <w:rPr>
          <w:rStyle w:val="32"/>
          <w:rFonts w:ascii="Times New Roman" w:eastAsia="Arial Unicode MS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  <w:lang w:val="bg-BG"/>
        </w:rPr>
        <w:t xml:space="preserve">Комисията пристъпи към оценяване на предложенията  за изпълнение на поръчката на допуснатите   участници, в съответствие с </w:t>
      </w:r>
      <w:r w:rsidR="00D96C24" w:rsidRPr="00FB7012">
        <w:rPr>
          <w:rFonts w:ascii="Times New Roman" w:hAnsi="Times New Roman"/>
          <w:sz w:val="24"/>
          <w:szCs w:val="24"/>
          <w:lang w:val="bg-BG"/>
        </w:rPr>
        <w:t xml:space="preserve">одобрената методика и </w:t>
      </w:r>
      <w:r w:rsidRPr="00FB7012">
        <w:rPr>
          <w:rFonts w:ascii="Times New Roman" w:hAnsi="Times New Roman"/>
          <w:sz w:val="24"/>
          <w:szCs w:val="24"/>
          <w:lang w:val="bg-BG"/>
        </w:rPr>
        <w:t>изискванията на Възложителя</w:t>
      </w:r>
      <w:r w:rsidR="00D96C24"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  <w:r w:rsidRPr="00FB7012">
        <w:rPr>
          <w:rStyle w:val="32"/>
          <w:rFonts w:ascii="Times New Roman" w:eastAsia="Arial Unicode MS" w:hAnsi="Times New Roman"/>
          <w:sz w:val="24"/>
          <w:szCs w:val="24"/>
          <w:lang w:val="bg-BG"/>
        </w:rPr>
        <w:t xml:space="preserve"> </w:t>
      </w:r>
    </w:p>
    <w:p w:rsidR="00C47E60" w:rsidRPr="00FB7012" w:rsidRDefault="00C47E60" w:rsidP="00C47E60">
      <w:pPr>
        <w:tabs>
          <w:tab w:val="left" w:pos="709"/>
        </w:tabs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възлага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Икономически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най-изгодната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оферта, определена по критерий за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Оптимално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  <w:lang w:val="ru-RU"/>
        </w:rPr>
        <w:t>съотношение</w:t>
      </w:r>
      <w:proofErr w:type="spellEnd"/>
      <w:r w:rsidRPr="00FB7012">
        <w:rPr>
          <w:rFonts w:ascii="Times New Roman" w:hAnsi="Times New Roman"/>
          <w:sz w:val="24"/>
          <w:szCs w:val="24"/>
          <w:lang w:val="ru-RU"/>
        </w:rPr>
        <w:t xml:space="preserve"> качество/цена”.</w:t>
      </w:r>
      <w:proofErr w:type="gramEnd"/>
    </w:p>
    <w:p w:rsidR="00C47E60" w:rsidRPr="00FB7012" w:rsidRDefault="00C47E60" w:rsidP="00C47E60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47E60" w:rsidRPr="00FB7012" w:rsidRDefault="00C47E60" w:rsidP="00C47E60">
      <w:pPr>
        <w:spacing w:after="20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Класирането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допуснатите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оферти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извършва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база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получената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всяка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оферта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FB7012">
        <w:rPr>
          <w:rFonts w:ascii="Times New Roman" w:hAnsi="Times New Roman"/>
          <w:sz w:val="24"/>
          <w:szCs w:val="24"/>
        </w:rPr>
        <w:t>като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сума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определените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B7012">
        <w:rPr>
          <w:rFonts w:ascii="Times New Roman" w:hAnsi="Times New Roman"/>
          <w:sz w:val="24"/>
          <w:szCs w:val="24"/>
        </w:rPr>
        <w:t>Методиката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C47E60" w:rsidRPr="00FB7012" w:rsidRDefault="00C47E60" w:rsidP="00C47E60">
      <w:pPr>
        <w:spacing w:after="20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</w:p>
    <w:p w:rsidR="00C47E60" w:rsidRPr="00FB7012" w:rsidRDefault="00C47E60" w:rsidP="00C47E60">
      <w:pPr>
        <w:spacing w:after="20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(КО) </w:t>
      </w:r>
      <w:proofErr w:type="spellStart"/>
      <w:r w:rsidRPr="00FB7012">
        <w:rPr>
          <w:rFonts w:ascii="Times New Roman" w:hAnsi="Times New Roman"/>
          <w:sz w:val="24"/>
          <w:szCs w:val="24"/>
        </w:rPr>
        <w:t>има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100 (</w:t>
      </w:r>
      <w:proofErr w:type="spellStart"/>
      <w:r w:rsidRPr="00FB7012">
        <w:rPr>
          <w:rFonts w:ascii="Times New Roman" w:hAnsi="Times New Roman"/>
          <w:sz w:val="24"/>
          <w:szCs w:val="24"/>
        </w:rPr>
        <w:t>сто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7012">
        <w:rPr>
          <w:rFonts w:ascii="Times New Roman" w:hAnsi="Times New Roman"/>
          <w:sz w:val="24"/>
          <w:szCs w:val="24"/>
        </w:rPr>
        <w:t>точки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C47E60" w:rsidRPr="00FB7012" w:rsidRDefault="00C47E60" w:rsidP="00C47E60">
      <w:pPr>
        <w:spacing w:after="20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(КО)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всеки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формира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показателя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C47E60" w:rsidRPr="00FB7012" w:rsidRDefault="00C47E60" w:rsidP="00C47E6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b/>
          <w:sz w:val="24"/>
          <w:szCs w:val="24"/>
        </w:rPr>
        <w:t>К1</w:t>
      </w:r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- 50 </w:t>
      </w:r>
      <w:proofErr w:type="spellStart"/>
      <w:r w:rsidRPr="00FB7012">
        <w:rPr>
          <w:rFonts w:ascii="Times New Roman" w:hAnsi="Times New Roman"/>
          <w:sz w:val="24"/>
          <w:szCs w:val="24"/>
        </w:rPr>
        <w:t>точки</w:t>
      </w:r>
      <w:proofErr w:type="spellEnd"/>
    </w:p>
    <w:p w:rsidR="00C47E60" w:rsidRDefault="00C47E60" w:rsidP="00C47E6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b/>
          <w:sz w:val="24"/>
          <w:szCs w:val="24"/>
        </w:rPr>
        <w:t>К2</w:t>
      </w:r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качествено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максимална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- 50 </w:t>
      </w:r>
      <w:proofErr w:type="spellStart"/>
      <w:r w:rsidRPr="00FB7012">
        <w:rPr>
          <w:rFonts w:ascii="Times New Roman" w:hAnsi="Times New Roman"/>
          <w:sz w:val="24"/>
          <w:szCs w:val="24"/>
        </w:rPr>
        <w:t>точки</w:t>
      </w:r>
      <w:proofErr w:type="spellEnd"/>
    </w:p>
    <w:p w:rsidR="00624B40" w:rsidRPr="00FB7012" w:rsidRDefault="00624B40" w:rsidP="00C47E60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Оценка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показател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К2 -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Организация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качествено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изпълнение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поръчката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 xml:space="preserve"> </w:t>
      </w:r>
    </w:p>
    <w:p w:rsidR="009D2D07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50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624B40" w:rsidRPr="00FB7012" w:rsidRDefault="00624B40" w:rsidP="009D2D07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13"/>
          <w:i w:val="0"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 xml:space="preserve">В представеното </w:t>
      </w:r>
      <w:r w:rsidRPr="00FB7012">
        <w:t>Предложение</w:t>
      </w:r>
      <w:r w:rsidRPr="00FB7012">
        <w:rPr>
          <w:lang w:val="en-US"/>
        </w:rPr>
        <w:t xml:space="preserve"> </w:t>
      </w:r>
      <w:r w:rsidRPr="00FB7012">
        <w:t>за изпълнение на поръчката</w:t>
      </w:r>
      <w:r w:rsidRPr="00FB7012">
        <w:rPr>
          <w:rStyle w:val="FontStyle285"/>
          <w:sz w:val="24"/>
          <w:szCs w:val="24"/>
        </w:rPr>
        <w:t xml:space="preserve"> участникът е предложил организация на персонала, </w:t>
      </w:r>
      <w:r w:rsidRPr="00FB7012">
        <w:rPr>
          <w:rStyle w:val="FontStyle213"/>
          <w:i w:val="0"/>
          <w:sz w:val="24"/>
          <w:szCs w:val="24"/>
        </w:rPr>
        <w:t xml:space="preserve">на </w:t>
      </w:r>
      <w:r w:rsidRPr="00FB7012">
        <w:rPr>
          <w:rStyle w:val="FontStyle285"/>
          <w:sz w:val="24"/>
          <w:szCs w:val="24"/>
        </w:rPr>
        <w:t xml:space="preserve">който </w:t>
      </w:r>
      <w:r w:rsidRPr="00FB7012">
        <w:rPr>
          <w:rStyle w:val="FontStyle213"/>
          <w:i w:val="0"/>
          <w:sz w:val="24"/>
          <w:szCs w:val="24"/>
        </w:rPr>
        <w:t>е възложено изпълнението на поръчката.</w:t>
      </w: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13"/>
          <w:i w:val="0"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>Описани са дейностите, които ще извършва за изпълнение на поръчката, като за всяка от дейностите са посочени експертите отговорни за изпълнението й.</w:t>
      </w: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97"/>
          <w:iCs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 xml:space="preserve">Посочено е </w:t>
      </w:r>
      <w:r w:rsidRPr="00FB7012">
        <w:rPr>
          <w:rStyle w:val="FontStyle297"/>
          <w:sz w:val="24"/>
          <w:szCs w:val="24"/>
        </w:rPr>
        <w:t xml:space="preserve">разпределение на човешките ресурси и отговорностите на отделните експерти от ключовия екип по специалности, които ще участват в процеса на контрол </w:t>
      </w:r>
      <w:r w:rsidRPr="00FB7012">
        <w:rPr>
          <w:rStyle w:val="FontStyle297"/>
          <w:sz w:val="24"/>
          <w:szCs w:val="24"/>
        </w:rPr>
        <w:lastRenderedPageBreak/>
        <w:t xml:space="preserve">на изпълняваните дейности и техниката (принтер, скенер, копирна машина, компютърна конфигурация), транспортни средства и </w:t>
      </w:r>
      <w:proofErr w:type="spellStart"/>
      <w:r w:rsidRPr="00FB7012">
        <w:rPr>
          <w:rStyle w:val="FontStyle297"/>
          <w:sz w:val="24"/>
          <w:szCs w:val="24"/>
        </w:rPr>
        <w:t>геодезически</w:t>
      </w:r>
      <w:proofErr w:type="spellEnd"/>
      <w:r w:rsidRPr="00FB7012">
        <w:rPr>
          <w:rStyle w:val="FontStyle297"/>
          <w:sz w:val="24"/>
          <w:szCs w:val="24"/>
        </w:rPr>
        <w:t xml:space="preserve"> уреди, необходими за изпълнение на поръчката..</w:t>
      </w: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13"/>
          <w:i w:val="0"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 xml:space="preserve">Предложени са начини на комуникация с Възложителя и останалите участници в строителния процес. </w:t>
      </w: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13"/>
          <w:i w:val="0"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 xml:space="preserve">Описани са задълженията и отговорностите на всеки експерт от ключовия екип, като за всеки от тях е посочил </w:t>
      </w:r>
      <w:r w:rsidRPr="00FB7012">
        <w:rPr>
          <w:rStyle w:val="FontStyle297"/>
          <w:sz w:val="24"/>
          <w:szCs w:val="24"/>
        </w:rPr>
        <w:t xml:space="preserve">в изготвянето и подписването на </w:t>
      </w:r>
      <w:r w:rsidRPr="00FB7012">
        <w:rPr>
          <w:rStyle w:val="FontStyle213"/>
          <w:i w:val="0"/>
          <w:sz w:val="24"/>
          <w:szCs w:val="24"/>
        </w:rPr>
        <w:t xml:space="preserve">кои актове и протоколи </w:t>
      </w:r>
      <w:r w:rsidRPr="00FB7012">
        <w:rPr>
          <w:rStyle w:val="FontStyle297"/>
          <w:sz w:val="24"/>
          <w:szCs w:val="24"/>
        </w:rPr>
        <w:t>по Наредба 3 /2003г. за съставяне на актове и протоколи по време на строителството участва</w:t>
      </w:r>
      <w:r w:rsidRPr="00FB7012">
        <w:rPr>
          <w:rStyle w:val="FontStyle213"/>
          <w:i w:val="0"/>
          <w:sz w:val="24"/>
          <w:szCs w:val="24"/>
        </w:rPr>
        <w:t xml:space="preserve">.   </w:t>
      </w:r>
    </w:p>
    <w:p w:rsidR="009D2D07" w:rsidRPr="00FB7012" w:rsidRDefault="009D2D07" w:rsidP="009D2D07">
      <w:pPr>
        <w:jc w:val="both"/>
        <w:rPr>
          <w:rFonts w:ascii="Times New Roman" w:hAnsi="Times New Roman"/>
          <w:bCs/>
          <w:sz w:val="24"/>
          <w:szCs w:val="24"/>
          <w:highlight w:val="green"/>
        </w:rPr>
      </w:pPr>
      <w:proofErr w:type="spellStart"/>
      <w:proofErr w:type="gramStart"/>
      <w:r w:rsidRPr="00FB7012">
        <w:rPr>
          <w:rStyle w:val="FontStyle34"/>
          <w:sz w:val="24"/>
          <w:szCs w:val="24"/>
        </w:rPr>
        <w:t>Комисията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смята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че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отношение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предложението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участника</w:t>
      </w:r>
      <w:proofErr w:type="spellEnd"/>
      <w:r w:rsidRPr="00FB7012">
        <w:rPr>
          <w:rStyle w:val="FontStyle34"/>
          <w:sz w:val="24"/>
          <w:szCs w:val="24"/>
        </w:rPr>
        <w:t xml:space="preserve"> е </w:t>
      </w:r>
      <w:proofErr w:type="spellStart"/>
      <w:r w:rsidRPr="00FB7012">
        <w:rPr>
          <w:rStyle w:val="FontStyle34"/>
          <w:sz w:val="24"/>
          <w:szCs w:val="24"/>
        </w:rPr>
        <w:t>налице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всяко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едно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двете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надграждащи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обстоятелства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заложени</w:t>
      </w:r>
      <w:proofErr w:type="spellEnd"/>
      <w:r w:rsidRPr="00FB7012">
        <w:rPr>
          <w:rStyle w:val="FontStyle34"/>
          <w:sz w:val="24"/>
          <w:szCs w:val="24"/>
        </w:rPr>
        <w:t xml:space="preserve"> в </w:t>
      </w:r>
      <w:proofErr w:type="spellStart"/>
      <w:r w:rsidRPr="00FB7012">
        <w:rPr>
          <w:rStyle w:val="FontStyle34"/>
          <w:sz w:val="24"/>
          <w:szCs w:val="24"/>
        </w:rPr>
        <w:t>методиката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за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>.</w:t>
      </w:r>
      <w:proofErr w:type="gramEnd"/>
      <w:r w:rsidRPr="00FB7012">
        <w:rPr>
          <w:rStyle w:val="FontStyle34"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B7012">
        <w:rPr>
          <w:rFonts w:ascii="Times New Roman" w:hAnsi="Times New Roman"/>
          <w:sz w:val="24"/>
          <w:szCs w:val="24"/>
        </w:rPr>
        <w:t>тази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връзка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Style w:val="FontStyle34"/>
          <w:sz w:val="24"/>
          <w:szCs w:val="24"/>
        </w:rPr>
        <w:t xml:space="preserve">и </w:t>
      </w:r>
      <w:proofErr w:type="spellStart"/>
      <w:r w:rsidRPr="00FB7012">
        <w:rPr>
          <w:rStyle w:val="FontStyle34"/>
          <w:sz w:val="24"/>
          <w:szCs w:val="24"/>
        </w:rPr>
        <w:t>съобразно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указанията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методиката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за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офертите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единодушно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определи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участника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50 </w:t>
      </w:r>
      <w:proofErr w:type="spellStart"/>
      <w:r w:rsidRPr="00FB7012">
        <w:rPr>
          <w:rStyle w:val="FontStyle34"/>
          <w:sz w:val="24"/>
          <w:szCs w:val="24"/>
        </w:rPr>
        <w:t>точки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показател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r w:rsidRPr="00FB7012">
        <w:rPr>
          <w:rFonts w:ascii="Times New Roman" w:hAnsi="Times New Roman"/>
          <w:sz w:val="24"/>
          <w:szCs w:val="24"/>
        </w:rPr>
        <w:t xml:space="preserve">К2 - </w:t>
      </w:r>
      <w:proofErr w:type="spellStart"/>
      <w:r w:rsidRPr="00FB7012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качествено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9D2D07" w:rsidRPr="00FB7012" w:rsidRDefault="009D2D07" w:rsidP="009D2D0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Fonts w:ascii="Times New Roman" w:hAnsi="Times New Roman"/>
          <w:b/>
          <w:sz w:val="24"/>
          <w:szCs w:val="24"/>
        </w:rPr>
        <w:t xml:space="preserve">– 50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13"/>
          <w:i w:val="0"/>
          <w:sz w:val="24"/>
          <w:szCs w:val="24"/>
        </w:rPr>
      </w:pPr>
      <w:r w:rsidRPr="00FB7012">
        <w:rPr>
          <w:rStyle w:val="FontStyle213"/>
          <w:i w:val="0"/>
          <w:sz w:val="24"/>
          <w:szCs w:val="24"/>
        </w:rPr>
        <w:t xml:space="preserve">В представеното </w:t>
      </w:r>
      <w:r w:rsidRPr="00FB7012">
        <w:t>Предложение</w:t>
      </w:r>
      <w:r w:rsidRPr="00FB7012">
        <w:rPr>
          <w:lang w:val="en-US"/>
        </w:rPr>
        <w:t xml:space="preserve"> </w:t>
      </w:r>
      <w:r w:rsidRPr="00FB7012">
        <w:t>за изпълнение на поръчката</w:t>
      </w:r>
      <w:r w:rsidRPr="00FB7012">
        <w:rPr>
          <w:rStyle w:val="FontStyle285"/>
          <w:sz w:val="24"/>
          <w:szCs w:val="24"/>
        </w:rPr>
        <w:t xml:space="preserve"> участникът е предложил организация на работата</w:t>
      </w:r>
      <w:r w:rsidRPr="00FB7012">
        <w:rPr>
          <w:rStyle w:val="FontStyle213"/>
          <w:i w:val="0"/>
          <w:sz w:val="24"/>
          <w:szCs w:val="24"/>
        </w:rPr>
        <w:t>.</w:t>
      </w:r>
    </w:p>
    <w:p w:rsidR="009D2D07" w:rsidRPr="00FB7012" w:rsidRDefault="009D2D07" w:rsidP="009D2D07">
      <w:pPr>
        <w:pStyle w:val="Style6"/>
        <w:widowControl/>
        <w:spacing w:line="274" w:lineRule="exact"/>
        <w:rPr>
          <w:rStyle w:val="FontStyle272"/>
          <w:i w:val="0"/>
          <w:sz w:val="24"/>
          <w:szCs w:val="24"/>
        </w:rPr>
      </w:pPr>
      <w:r w:rsidRPr="00FB7012">
        <w:t>Предложена е организация и подход за изпълнение на договора. Описани са дейностите,  необходими за постигане на целите на договора по време на строителството, дейности по време на периода след приключване  изпълнението на строителни и монтажни работи и до въвеждане на строежа в експлоатация</w:t>
      </w:r>
      <w:r w:rsidRPr="00FB7012">
        <w:rPr>
          <w:rStyle w:val="FontStyle272"/>
          <w:i w:val="0"/>
          <w:sz w:val="24"/>
          <w:szCs w:val="24"/>
        </w:rPr>
        <w:t xml:space="preserve"> и дейностите, които предвижда да изпълни след издаване на удостоверение за въвеждане в експлоатация.</w:t>
      </w:r>
    </w:p>
    <w:p w:rsidR="009D2D07" w:rsidRPr="00FB7012" w:rsidRDefault="009D2D07" w:rsidP="009D2D07">
      <w:pPr>
        <w:pStyle w:val="Style6"/>
        <w:widowControl/>
        <w:spacing w:line="274" w:lineRule="exact"/>
      </w:pPr>
      <w:r w:rsidRPr="00FB7012">
        <w:t xml:space="preserve">Предложена е организация на дейностите. Посочен е състава на екипа от ключови експерти, които ще са ангажирани при изпълнение на поръчката, както и задълженията на експертите за изпълнение на всяка от дейностите. Описани са устройства, оборудване и т.н., които екипът от експерти (ключови и неключови) ще има на разположение по време на изпълнение на договора, и които ще им бъдат осигурени. </w:t>
      </w: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FB7012">
        <w:rPr>
          <w:rFonts w:ascii="Times New Roman" w:hAnsi="Times New Roman"/>
          <w:sz w:val="24"/>
          <w:szCs w:val="24"/>
        </w:rPr>
        <w:t>описал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начина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комуникация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неговите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експерти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Представено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FB7012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участието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всеки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времето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където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участникът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FB7012">
        <w:rPr>
          <w:rFonts w:ascii="Times New Roman" w:hAnsi="Times New Roman"/>
          <w:sz w:val="24"/>
          <w:szCs w:val="24"/>
        </w:rPr>
        <w:t>описал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дейностите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които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предвижда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като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всяка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дейност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експертите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ключовия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екип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отговорни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й и </w:t>
      </w:r>
      <w:proofErr w:type="spellStart"/>
      <w:r w:rsidRPr="00FB7012">
        <w:rPr>
          <w:rFonts w:ascii="Times New Roman" w:hAnsi="Times New Roman"/>
          <w:sz w:val="24"/>
          <w:szCs w:val="24"/>
        </w:rPr>
        <w:t>продължителност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съответните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bCs/>
          <w:sz w:val="24"/>
          <w:szCs w:val="24"/>
          <w:highlight w:val="green"/>
        </w:rPr>
      </w:pPr>
      <w:proofErr w:type="spellStart"/>
      <w:proofErr w:type="gramStart"/>
      <w:r w:rsidRPr="00FB7012">
        <w:rPr>
          <w:rStyle w:val="FontStyle34"/>
          <w:sz w:val="24"/>
          <w:szCs w:val="24"/>
        </w:rPr>
        <w:t>Комисията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смята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че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отношение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предложението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участника</w:t>
      </w:r>
      <w:proofErr w:type="spellEnd"/>
      <w:r w:rsidRPr="00FB7012">
        <w:rPr>
          <w:rStyle w:val="FontStyle34"/>
          <w:sz w:val="24"/>
          <w:szCs w:val="24"/>
        </w:rPr>
        <w:t xml:space="preserve"> е </w:t>
      </w:r>
      <w:proofErr w:type="spellStart"/>
      <w:r w:rsidRPr="00FB7012">
        <w:rPr>
          <w:rStyle w:val="FontStyle34"/>
          <w:sz w:val="24"/>
          <w:szCs w:val="24"/>
        </w:rPr>
        <w:t>налице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всяко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едно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двете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надграждащи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обстоятелства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заложени</w:t>
      </w:r>
      <w:proofErr w:type="spellEnd"/>
      <w:r w:rsidRPr="00FB7012">
        <w:rPr>
          <w:rStyle w:val="FontStyle34"/>
          <w:sz w:val="24"/>
          <w:szCs w:val="24"/>
        </w:rPr>
        <w:t xml:space="preserve"> в </w:t>
      </w:r>
      <w:proofErr w:type="spellStart"/>
      <w:r w:rsidRPr="00FB7012">
        <w:rPr>
          <w:rStyle w:val="FontStyle34"/>
          <w:sz w:val="24"/>
          <w:szCs w:val="24"/>
        </w:rPr>
        <w:t>методиката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за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>.</w:t>
      </w:r>
      <w:proofErr w:type="gramEnd"/>
      <w:r w:rsidRPr="00FB7012">
        <w:rPr>
          <w:rStyle w:val="FontStyle34"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B7012">
        <w:rPr>
          <w:rFonts w:ascii="Times New Roman" w:hAnsi="Times New Roman"/>
          <w:sz w:val="24"/>
          <w:szCs w:val="24"/>
        </w:rPr>
        <w:t>тази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връзка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r w:rsidRPr="00FB7012">
        <w:rPr>
          <w:rStyle w:val="FontStyle34"/>
          <w:sz w:val="24"/>
          <w:szCs w:val="24"/>
        </w:rPr>
        <w:t xml:space="preserve">и </w:t>
      </w:r>
      <w:proofErr w:type="spellStart"/>
      <w:r w:rsidRPr="00FB7012">
        <w:rPr>
          <w:rStyle w:val="FontStyle34"/>
          <w:sz w:val="24"/>
          <w:szCs w:val="24"/>
        </w:rPr>
        <w:t>съобразно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указанията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методиката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за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офертите</w:t>
      </w:r>
      <w:proofErr w:type="spellEnd"/>
      <w:r w:rsidRPr="00FB7012">
        <w:rPr>
          <w:rStyle w:val="FontStyle34"/>
          <w:sz w:val="24"/>
          <w:szCs w:val="24"/>
        </w:rPr>
        <w:t xml:space="preserve">, </w:t>
      </w:r>
      <w:proofErr w:type="spellStart"/>
      <w:r w:rsidRPr="00FB7012">
        <w:rPr>
          <w:rStyle w:val="FontStyle34"/>
          <w:sz w:val="24"/>
          <w:szCs w:val="24"/>
        </w:rPr>
        <w:t>единодушно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определи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на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участника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оценка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от</w:t>
      </w:r>
      <w:proofErr w:type="spellEnd"/>
      <w:r w:rsidRPr="00FB7012">
        <w:rPr>
          <w:rStyle w:val="FontStyle34"/>
          <w:sz w:val="24"/>
          <w:szCs w:val="24"/>
        </w:rPr>
        <w:t xml:space="preserve"> 50 </w:t>
      </w:r>
      <w:proofErr w:type="spellStart"/>
      <w:r w:rsidRPr="00FB7012">
        <w:rPr>
          <w:rStyle w:val="FontStyle34"/>
          <w:sz w:val="24"/>
          <w:szCs w:val="24"/>
        </w:rPr>
        <w:t>точки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proofErr w:type="spellStart"/>
      <w:r w:rsidRPr="00FB7012">
        <w:rPr>
          <w:rStyle w:val="FontStyle34"/>
          <w:sz w:val="24"/>
          <w:szCs w:val="24"/>
        </w:rPr>
        <w:t>показател</w:t>
      </w:r>
      <w:proofErr w:type="spellEnd"/>
      <w:r w:rsidRPr="00FB7012">
        <w:rPr>
          <w:rStyle w:val="FontStyle34"/>
          <w:sz w:val="24"/>
          <w:szCs w:val="24"/>
        </w:rPr>
        <w:t xml:space="preserve"> </w:t>
      </w:r>
      <w:r w:rsidRPr="00FB7012">
        <w:rPr>
          <w:rFonts w:ascii="Times New Roman" w:hAnsi="Times New Roman"/>
          <w:sz w:val="24"/>
          <w:szCs w:val="24"/>
        </w:rPr>
        <w:t xml:space="preserve">К2 - </w:t>
      </w:r>
      <w:proofErr w:type="spellStart"/>
      <w:r w:rsidRPr="00FB7012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качествено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Оценка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показател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К1</w:t>
      </w:r>
      <w:r w:rsidRPr="00FB70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Предложена</w:t>
      </w:r>
      <w:proofErr w:type="spellEnd"/>
      <w:r w:rsidRPr="00FB70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  <w:u w:val="single"/>
        </w:rPr>
        <w:t>цена</w:t>
      </w:r>
      <w:proofErr w:type="spellEnd"/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b/>
          <w:sz w:val="24"/>
          <w:szCs w:val="24"/>
        </w:rPr>
        <w:t>К1</w:t>
      </w:r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показателят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изчислява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Формула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>К1 = (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Цена</w:t>
      </w:r>
      <w:proofErr w:type="spellEnd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>мин</w:t>
      </w:r>
      <w:proofErr w:type="spellEnd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>.</w:t>
      </w:r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Цена</w:t>
      </w:r>
      <w:proofErr w:type="spellEnd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>участн</w:t>
      </w:r>
      <w:proofErr w:type="spellEnd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>.)</w:t>
      </w:r>
      <w:proofErr w:type="gramEnd"/>
      <w:r w:rsidRPr="00FB7012">
        <w:rPr>
          <w:rFonts w:ascii="Times New Roman" w:eastAsia="Microsoft Sans Serif" w:hAnsi="Times New Roman"/>
          <w:b/>
          <w:bCs/>
          <w:sz w:val="24"/>
          <w:szCs w:val="24"/>
        </w:rPr>
        <w:t xml:space="preserve"> * 50, </w:t>
      </w:r>
      <w:proofErr w:type="spellStart"/>
      <w:r w:rsidRPr="00FB7012">
        <w:rPr>
          <w:rFonts w:ascii="Times New Roman" w:hAnsi="Times New Roman"/>
          <w:sz w:val="24"/>
          <w:szCs w:val="24"/>
        </w:rPr>
        <w:t>където</w:t>
      </w:r>
      <w:proofErr w:type="spellEnd"/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Цена</w:t>
      </w:r>
      <w:proofErr w:type="spellEnd"/>
      <w:r w:rsidRPr="00FB701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B701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мин</w:t>
      </w:r>
      <w:proofErr w:type="spellEnd"/>
      <w:r w:rsidRPr="00FB701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.</w:t>
      </w:r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sz w:val="24"/>
          <w:szCs w:val="24"/>
        </w:rPr>
        <w:t>е</w:t>
      </w:r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най-ниската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</w:p>
    <w:p w:rsidR="009D2D07" w:rsidRPr="00FB7012" w:rsidRDefault="009D2D07" w:rsidP="009D2D07">
      <w:pPr>
        <w:spacing w:after="200"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iCs/>
          <w:sz w:val="24"/>
          <w:szCs w:val="24"/>
        </w:rPr>
        <w:t>Цена</w:t>
      </w:r>
      <w:proofErr w:type="spellEnd"/>
      <w:r w:rsidRPr="00FB701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iCs/>
          <w:sz w:val="24"/>
          <w:szCs w:val="24"/>
        </w:rPr>
        <w:t>участн</w:t>
      </w:r>
      <w:proofErr w:type="spellEnd"/>
      <w:r w:rsidRPr="00FB7012">
        <w:rPr>
          <w:rFonts w:ascii="Times New Roman" w:hAnsi="Times New Roman"/>
          <w:b/>
          <w:iCs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FB7012">
        <w:rPr>
          <w:rFonts w:ascii="Times New Roman" w:hAnsi="Times New Roman"/>
          <w:b/>
          <w:bCs/>
          <w:sz w:val="24"/>
          <w:szCs w:val="24"/>
        </w:rPr>
        <w:t>е</w:t>
      </w:r>
      <w:proofErr w:type="gramEnd"/>
      <w:r w:rsidRPr="00FB70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цената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предложена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даден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съгласно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ценовото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Cs/>
          <w:sz w:val="24"/>
          <w:szCs w:val="24"/>
        </w:rPr>
        <w:t>предложение</w:t>
      </w:r>
      <w:proofErr w:type="spellEnd"/>
      <w:r w:rsidRPr="00FB7012">
        <w:rPr>
          <w:rFonts w:ascii="Times New Roman" w:hAnsi="Times New Roman"/>
          <w:bCs/>
          <w:sz w:val="24"/>
          <w:szCs w:val="24"/>
        </w:rPr>
        <w:t xml:space="preserve">. </w:t>
      </w: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Предложенията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както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следва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lastRenderedPageBreak/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- </w:t>
      </w:r>
      <w:r w:rsidRPr="00FB7012">
        <w:rPr>
          <w:rFonts w:ascii="Times New Roman" w:hAnsi="Times New Roman"/>
          <w:sz w:val="24"/>
          <w:szCs w:val="24"/>
        </w:rPr>
        <w:t>25 777 (</w:t>
      </w:r>
      <w:proofErr w:type="spellStart"/>
      <w:r w:rsidRPr="00FB7012">
        <w:rPr>
          <w:rFonts w:ascii="Times New Roman" w:hAnsi="Times New Roman"/>
          <w:sz w:val="24"/>
          <w:szCs w:val="24"/>
        </w:rPr>
        <w:t>двадесет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пет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хиляди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седемстотин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седемдесет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седем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лева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лева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без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ДДС</w:t>
      </w:r>
    </w:p>
    <w:p w:rsidR="009D2D07" w:rsidRPr="00FB7012" w:rsidRDefault="009D2D07" w:rsidP="009D2D07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констатира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че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ценовото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- 23 600 (</w:t>
      </w:r>
      <w:proofErr w:type="spellStart"/>
      <w:r w:rsidRPr="00FB7012">
        <w:rPr>
          <w:rFonts w:ascii="Times New Roman" w:hAnsi="Times New Roman"/>
          <w:sz w:val="24"/>
          <w:szCs w:val="24"/>
        </w:rPr>
        <w:t>двадесет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три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7012">
        <w:rPr>
          <w:rFonts w:ascii="Times New Roman" w:hAnsi="Times New Roman"/>
          <w:sz w:val="24"/>
          <w:szCs w:val="24"/>
        </w:rPr>
        <w:t>хиляди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шестстотин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лева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)</w:t>
      </w:r>
      <w:proofErr w:type="spellStart"/>
      <w:r w:rsidRPr="00FB7012">
        <w:rPr>
          <w:rFonts w:ascii="Times New Roman" w:hAnsi="Times New Roman"/>
          <w:sz w:val="24"/>
          <w:szCs w:val="24"/>
        </w:rPr>
        <w:t>лв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без</w:t>
      </w:r>
      <w:proofErr w:type="spellEnd"/>
      <w:proofErr w:type="gramEnd"/>
      <w:r w:rsidRPr="00FB7012">
        <w:rPr>
          <w:rFonts w:ascii="Times New Roman" w:hAnsi="Times New Roman"/>
          <w:sz w:val="24"/>
          <w:szCs w:val="24"/>
        </w:rPr>
        <w:t xml:space="preserve"> ДДС</w:t>
      </w:r>
    </w:p>
    <w:p w:rsidR="009D2D07" w:rsidRPr="00FB7012" w:rsidRDefault="009D2D07" w:rsidP="009D2D0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констатира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че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ценовото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</w:p>
    <w:p w:rsidR="009D2D07" w:rsidRPr="00FB7012" w:rsidRDefault="009D2D07" w:rsidP="009D2D0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D2D07" w:rsidRPr="00FB7012" w:rsidRDefault="009D2D07" w:rsidP="009D2D07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След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прилагане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формулата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точките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показателя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45.78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50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t>След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като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точките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отделните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пристъпи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към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FB7012">
        <w:rPr>
          <w:rFonts w:ascii="Times New Roman" w:hAnsi="Times New Roman"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формула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D2D07" w:rsidRPr="00FB7012" w:rsidRDefault="009D2D07" w:rsidP="009D2D07">
      <w:pPr>
        <w:spacing w:after="200" w:line="276" w:lineRule="auto"/>
        <w:ind w:right="26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B7012">
        <w:rPr>
          <w:rFonts w:ascii="Times New Roman" w:hAnsi="Times New Roman"/>
          <w:b/>
          <w:sz w:val="24"/>
          <w:szCs w:val="24"/>
        </w:rPr>
        <w:t xml:space="preserve">КО = К1+ K2 = .......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  <w:proofErr w:type="gramEnd"/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D2D07" w:rsidRPr="00FB7012" w:rsidRDefault="009D2D07" w:rsidP="009D2D07">
      <w:pPr>
        <w:tabs>
          <w:tab w:val="left" w:pos="0"/>
        </w:tabs>
        <w:spacing w:after="120"/>
        <w:ind w:right="2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Въз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основа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определeните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отделните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прилагане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формулата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за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комплексната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:     </w:t>
      </w:r>
    </w:p>
    <w:p w:rsidR="009D2D07" w:rsidRPr="00FB7012" w:rsidRDefault="009D2D07" w:rsidP="009D2D0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1 – „МЕГА – СТРОЙ – ИНЖЕНЕРИНГ” ЕООД,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95.78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pStyle w:val="a3"/>
        <w:tabs>
          <w:tab w:val="left" w:pos="720"/>
          <w:tab w:val="left" w:pos="851"/>
          <w:tab w:val="left" w:pos="993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 xml:space="preserve">КО = </w:t>
      </w:r>
      <w:r w:rsidRPr="00FB7012">
        <w:rPr>
          <w:rFonts w:ascii="Times New Roman" w:hAnsi="Times New Roman"/>
          <w:sz w:val="24"/>
          <w:szCs w:val="24"/>
          <w:lang w:val="bg-BG"/>
        </w:rPr>
        <w:t>45.78 + 50</w:t>
      </w:r>
      <w:r w:rsidRPr="00FB7012">
        <w:rPr>
          <w:rFonts w:ascii="Times New Roman" w:hAnsi="Times New Roman"/>
          <w:sz w:val="24"/>
          <w:szCs w:val="24"/>
        </w:rPr>
        <w:t xml:space="preserve"> </w:t>
      </w: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="00BF562B" w:rsidRPr="00FB7012">
        <w:rPr>
          <w:rFonts w:ascii="Times New Roman" w:hAnsi="Times New Roman"/>
          <w:b/>
          <w:sz w:val="24"/>
          <w:szCs w:val="24"/>
        </w:rPr>
        <w:t xml:space="preserve"> – </w:t>
      </w:r>
      <w:r w:rsidR="00BF562B" w:rsidRPr="00FB7012">
        <w:rPr>
          <w:rFonts w:ascii="Times New Roman" w:hAnsi="Times New Roman"/>
          <w:b/>
          <w:sz w:val="24"/>
          <w:szCs w:val="24"/>
          <w:lang w:val="bg-BG"/>
        </w:rPr>
        <w:t>10</w:t>
      </w:r>
      <w:r w:rsidRPr="00FB7012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pStyle w:val="a3"/>
        <w:tabs>
          <w:tab w:val="left" w:pos="720"/>
          <w:tab w:val="left" w:pos="851"/>
          <w:tab w:val="left" w:pos="993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 xml:space="preserve">КО = </w:t>
      </w:r>
      <w:r w:rsidRPr="00FB7012">
        <w:rPr>
          <w:rFonts w:ascii="Times New Roman" w:hAnsi="Times New Roman"/>
          <w:sz w:val="24"/>
          <w:szCs w:val="24"/>
          <w:lang w:val="bg-BG"/>
        </w:rPr>
        <w:t>50 + 50</w:t>
      </w:r>
      <w:r w:rsidRPr="00FB7012">
        <w:rPr>
          <w:rFonts w:ascii="Times New Roman" w:hAnsi="Times New Roman"/>
          <w:sz w:val="24"/>
          <w:szCs w:val="24"/>
        </w:rPr>
        <w:t xml:space="preserve"> </w:t>
      </w:r>
    </w:p>
    <w:p w:rsidR="009D2D07" w:rsidRPr="00FB7012" w:rsidRDefault="009D2D07" w:rsidP="009D2D07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D2D07" w:rsidRPr="00FB7012" w:rsidRDefault="009D2D07" w:rsidP="009D2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012">
        <w:rPr>
          <w:rFonts w:ascii="Times New Roman" w:hAnsi="Times New Roman"/>
          <w:sz w:val="24"/>
          <w:szCs w:val="24"/>
        </w:rPr>
        <w:t>Въз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основа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определените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комплексни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оценки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класира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следния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начин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012">
        <w:rPr>
          <w:rFonts w:ascii="Times New Roman" w:hAnsi="Times New Roman"/>
          <w:b/>
          <w:sz w:val="24"/>
          <w:szCs w:val="24"/>
        </w:rPr>
        <w:t>Първо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3 – „ЕКСПЕРТИНВЕСТ” АД,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100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</w:rPr>
      </w:pP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012">
        <w:rPr>
          <w:rFonts w:ascii="Times New Roman" w:hAnsi="Times New Roman"/>
          <w:b/>
          <w:sz w:val="24"/>
          <w:szCs w:val="24"/>
        </w:rPr>
        <w:t>Второ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Pr="00FB7012">
        <w:rPr>
          <w:rFonts w:ascii="Times New Roman" w:hAnsi="Times New Roman"/>
          <w:b/>
          <w:sz w:val="24"/>
          <w:szCs w:val="24"/>
        </w:rPr>
        <w:t>1  –</w:t>
      </w:r>
      <w:proofErr w:type="gramEnd"/>
      <w:r w:rsidRPr="00FB7012">
        <w:rPr>
          <w:rFonts w:ascii="Times New Roman" w:hAnsi="Times New Roman"/>
          <w:b/>
          <w:sz w:val="24"/>
          <w:szCs w:val="24"/>
        </w:rPr>
        <w:t xml:space="preserve"> „МЕГА – СТРОЙ – ИНЖЕНЕРИНГ” ЕООД,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гр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Видин</w:t>
      </w:r>
      <w:proofErr w:type="spellEnd"/>
      <w:r w:rsidRPr="00FB7012">
        <w:rPr>
          <w:rFonts w:ascii="Times New Roman" w:hAnsi="Times New Roman"/>
          <w:b/>
          <w:sz w:val="24"/>
          <w:szCs w:val="24"/>
        </w:rPr>
        <w:t xml:space="preserve"> – 95.78 </w:t>
      </w:r>
      <w:proofErr w:type="spellStart"/>
      <w:r w:rsidRPr="00FB7012">
        <w:rPr>
          <w:rFonts w:ascii="Times New Roman" w:hAnsi="Times New Roman"/>
          <w:b/>
          <w:sz w:val="24"/>
          <w:szCs w:val="24"/>
        </w:rPr>
        <w:t>точки</w:t>
      </w:r>
      <w:proofErr w:type="spellEnd"/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2D07" w:rsidRPr="00FB7012" w:rsidRDefault="009D2D07" w:rsidP="009D2D07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D2D07" w:rsidRPr="00FB7012" w:rsidRDefault="009D2D07" w:rsidP="009D2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012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FB7012">
        <w:rPr>
          <w:rFonts w:ascii="Times New Roman" w:hAnsi="Times New Roman"/>
          <w:sz w:val="24"/>
          <w:szCs w:val="24"/>
        </w:rPr>
        <w:t>оглед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изложеното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7012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предлага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FB7012">
        <w:rPr>
          <w:rFonts w:ascii="Times New Roman" w:hAnsi="Times New Roman"/>
          <w:sz w:val="24"/>
          <w:szCs w:val="24"/>
        </w:rPr>
        <w:t>:</w:t>
      </w:r>
    </w:p>
    <w:p w:rsidR="00FA5136" w:rsidRPr="00625FC7" w:rsidRDefault="009D2D07" w:rsidP="00FA5136">
      <w:pPr>
        <w:spacing w:before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proofErr w:type="gramStart"/>
      <w:r w:rsidRPr="00FB7012">
        <w:rPr>
          <w:rFonts w:ascii="Times New Roman" w:hAnsi="Times New Roman"/>
          <w:sz w:val="24"/>
          <w:szCs w:val="24"/>
        </w:rPr>
        <w:lastRenderedPageBreak/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чл</w:t>
      </w:r>
      <w:proofErr w:type="spellEnd"/>
      <w:r w:rsidR="00FA5136">
        <w:rPr>
          <w:rFonts w:ascii="Times New Roman" w:hAnsi="Times New Roman"/>
          <w:sz w:val="24"/>
          <w:szCs w:val="24"/>
        </w:rPr>
        <w:t>.</w:t>
      </w:r>
      <w:proofErr w:type="gramEnd"/>
      <w:r w:rsidR="00FA5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5136">
        <w:rPr>
          <w:rFonts w:ascii="Times New Roman" w:hAnsi="Times New Roman"/>
          <w:sz w:val="24"/>
          <w:szCs w:val="24"/>
        </w:rPr>
        <w:t xml:space="preserve">194, </w:t>
      </w:r>
      <w:proofErr w:type="spellStart"/>
      <w:r w:rsidR="00FA5136">
        <w:rPr>
          <w:rFonts w:ascii="Times New Roman" w:hAnsi="Times New Roman"/>
          <w:sz w:val="24"/>
          <w:szCs w:val="24"/>
        </w:rPr>
        <w:t>ал</w:t>
      </w:r>
      <w:proofErr w:type="spellEnd"/>
      <w:r w:rsidR="00FA5136">
        <w:rPr>
          <w:rFonts w:ascii="Times New Roman" w:hAnsi="Times New Roman"/>
          <w:sz w:val="24"/>
          <w:szCs w:val="24"/>
        </w:rPr>
        <w:t>.</w:t>
      </w:r>
      <w:proofErr w:type="gramEnd"/>
      <w:r w:rsidR="00FA513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A5136">
        <w:rPr>
          <w:rFonts w:ascii="Times New Roman" w:hAnsi="Times New Roman"/>
          <w:sz w:val="24"/>
          <w:szCs w:val="24"/>
        </w:rPr>
        <w:t>от</w:t>
      </w:r>
      <w:proofErr w:type="spellEnd"/>
      <w:r w:rsidR="00FA5136">
        <w:rPr>
          <w:rFonts w:ascii="Times New Roman" w:hAnsi="Times New Roman"/>
          <w:sz w:val="24"/>
          <w:szCs w:val="24"/>
        </w:rPr>
        <w:t xml:space="preserve"> ЗОП </w:t>
      </w:r>
      <w:proofErr w:type="spellStart"/>
      <w:r w:rsidR="00FA5136">
        <w:rPr>
          <w:rFonts w:ascii="Times New Roman" w:hAnsi="Times New Roman"/>
          <w:sz w:val="24"/>
          <w:szCs w:val="24"/>
        </w:rPr>
        <w:t>да</w:t>
      </w:r>
      <w:proofErr w:type="spellEnd"/>
      <w:r w:rsidR="00FA51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A5136">
        <w:rPr>
          <w:rFonts w:ascii="Times New Roman" w:hAnsi="Times New Roman"/>
          <w:sz w:val="24"/>
          <w:szCs w:val="24"/>
        </w:rPr>
        <w:t>сключи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договор</w:t>
      </w:r>
      <w:proofErr w:type="spellEnd"/>
      <w:r w:rsidR="00FA5136"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класираният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на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първо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място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012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FB7012">
        <w:rPr>
          <w:rFonts w:ascii="Times New Roman" w:hAnsi="Times New Roman"/>
          <w:sz w:val="24"/>
          <w:szCs w:val="24"/>
        </w:rPr>
        <w:t xml:space="preserve"> „ЕКСПЕРТИНВЕСТ” АД, </w:t>
      </w:r>
      <w:r w:rsidR="002D7C42">
        <w:rPr>
          <w:rFonts w:ascii="Times New Roman" w:hAnsi="Times New Roman"/>
          <w:sz w:val="24"/>
          <w:szCs w:val="24"/>
          <w:lang w:val="bg-BG"/>
        </w:rPr>
        <w:t>ЕИК 105580298,</w:t>
      </w:r>
      <w:r w:rsidRPr="00FB7012">
        <w:rPr>
          <w:rFonts w:ascii="Times New Roman" w:hAnsi="Times New Roman"/>
          <w:sz w:val="24"/>
          <w:szCs w:val="24"/>
        </w:rPr>
        <w:t xml:space="preserve"> </w:t>
      </w:r>
      <w:r w:rsidR="00FA5136" w:rsidRPr="006B0505">
        <w:rPr>
          <w:rFonts w:ascii="Times New Roman" w:hAnsi="Times New Roman"/>
          <w:sz w:val="24"/>
          <w:szCs w:val="24"/>
          <w:lang w:val="bg-BG"/>
        </w:rPr>
        <w:t xml:space="preserve">със седалище </w:t>
      </w:r>
      <w:r w:rsidR="002D7C42">
        <w:rPr>
          <w:rFonts w:ascii="Times New Roman" w:hAnsi="Times New Roman"/>
          <w:sz w:val="24"/>
          <w:szCs w:val="24"/>
          <w:lang w:val="bg-BG"/>
        </w:rPr>
        <w:t xml:space="preserve">и адрес на управление: гр. Видин, ул. „Осман </w:t>
      </w:r>
      <w:proofErr w:type="spellStart"/>
      <w:r w:rsidR="002D7C42">
        <w:rPr>
          <w:rFonts w:ascii="Times New Roman" w:hAnsi="Times New Roman"/>
          <w:sz w:val="24"/>
          <w:szCs w:val="24"/>
          <w:lang w:val="bg-BG"/>
        </w:rPr>
        <w:t>Пазвантоглу</w:t>
      </w:r>
      <w:proofErr w:type="spellEnd"/>
      <w:r w:rsidR="002D7C42">
        <w:rPr>
          <w:rFonts w:ascii="Times New Roman" w:hAnsi="Times New Roman"/>
          <w:sz w:val="24"/>
          <w:szCs w:val="24"/>
          <w:lang w:val="bg-BG"/>
        </w:rPr>
        <w:t>”, №2А</w:t>
      </w:r>
      <w:r w:rsidR="00FA5136" w:rsidRPr="006B0505">
        <w:rPr>
          <w:rFonts w:ascii="Times New Roman" w:hAnsi="Times New Roman"/>
          <w:sz w:val="24"/>
          <w:szCs w:val="24"/>
          <w:lang w:val="bg-BG"/>
        </w:rPr>
        <w:t>,</w:t>
      </w:r>
      <w:r w:rsidR="00FA51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5136" w:rsidRPr="00625FC7">
        <w:rPr>
          <w:rFonts w:ascii="Times New Roman" w:hAnsi="Times New Roman"/>
          <w:b/>
          <w:sz w:val="24"/>
          <w:szCs w:val="24"/>
          <w:lang w:val="ru-RU"/>
        </w:rPr>
        <w:t xml:space="preserve">с КО </w:t>
      </w:r>
      <w:r w:rsidR="00FA5136">
        <w:rPr>
          <w:rFonts w:ascii="Times New Roman" w:hAnsi="Times New Roman"/>
          <w:b/>
          <w:sz w:val="24"/>
          <w:szCs w:val="24"/>
          <w:lang w:val="ru-RU"/>
        </w:rPr>
        <w:t xml:space="preserve">– 100 </w:t>
      </w:r>
      <w:r w:rsidR="00FA5136" w:rsidRPr="00625FC7">
        <w:rPr>
          <w:rFonts w:ascii="Times New Roman" w:hAnsi="Times New Roman"/>
          <w:b/>
          <w:sz w:val="24"/>
          <w:szCs w:val="24"/>
          <w:lang w:val="ru-RU"/>
        </w:rPr>
        <w:t>точки</w:t>
      </w:r>
    </w:p>
    <w:p w:rsidR="00FA5136" w:rsidRPr="00625FC7" w:rsidRDefault="00FA5136" w:rsidP="00FA513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D2D07" w:rsidRPr="00FB7012" w:rsidRDefault="009D2D07" w:rsidP="009D2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</w:rPr>
      </w:pPr>
    </w:p>
    <w:p w:rsidR="009D2D07" w:rsidRPr="00195DE0" w:rsidRDefault="009D2D07" w:rsidP="009D2D0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5DE0">
        <w:rPr>
          <w:rFonts w:ascii="Times New Roman" w:hAnsi="Times New Roman"/>
          <w:sz w:val="24"/>
          <w:szCs w:val="24"/>
        </w:rPr>
        <w:t>Комисията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състави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настоящия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95DE0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95DE0">
        <w:rPr>
          <w:rFonts w:ascii="Times New Roman" w:hAnsi="Times New Roman"/>
          <w:sz w:val="24"/>
          <w:szCs w:val="24"/>
        </w:rPr>
        <w:t>разпоредбите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на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чл</w:t>
      </w:r>
      <w:proofErr w:type="spellEnd"/>
      <w:r w:rsidRPr="00195DE0">
        <w:rPr>
          <w:rFonts w:ascii="Times New Roman" w:hAnsi="Times New Roman"/>
          <w:sz w:val="24"/>
          <w:szCs w:val="24"/>
        </w:rPr>
        <w:t>.</w:t>
      </w:r>
      <w:proofErr w:type="gram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5DE0">
        <w:rPr>
          <w:rFonts w:ascii="Times New Roman" w:hAnsi="Times New Roman"/>
          <w:sz w:val="24"/>
          <w:szCs w:val="24"/>
        </w:rPr>
        <w:t xml:space="preserve">97, </w:t>
      </w:r>
      <w:proofErr w:type="spellStart"/>
      <w:r w:rsidRPr="00195DE0">
        <w:rPr>
          <w:rFonts w:ascii="Times New Roman" w:hAnsi="Times New Roman"/>
          <w:sz w:val="24"/>
          <w:szCs w:val="24"/>
        </w:rPr>
        <w:t>ал</w:t>
      </w:r>
      <w:proofErr w:type="spellEnd"/>
      <w:r w:rsidRPr="00195DE0">
        <w:rPr>
          <w:rFonts w:ascii="Times New Roman" w:hAnsi="Times New Roman"/>
          <w:sz w:val="24"/>
          <w:szCs w:val="24"/>
        </w:rPr>
        <w:t>.</w:t>
      </w:r>
      <w:proofErr w:type="gramEnd"/>
      <w:r w:rsidRPr="00195DE0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195DE0">
        <w:rPr>
          <w:rFonts w:ascii="Times New Roman" w:hAnsi="Times New Roman"/>
          <w:sz w:val="24"/>
          <w:szCs w:val="24"/>
        </w:rPr>
        <w:t>от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ППЗОП </w:t>
      </w:r>
      <w:proofErr w:type="spellStart"/>
      <w:r w:rsidRPr="00195DE0">
        <w:rPr>
          <w:rFonts w:ascii="Times New Roman" w:hAnsi="Times New Roman"/>
          <w:sz w:val="24"/>
          <w:szCs w:val="24"/>
        </w:rPr>
        <w:t>на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14.05.2018 г. и </w:t>
      </w:r>
      <w:proofErr w:type="spellStart"/>
      <w:r w:rsidRPr="00195DE0">
        <w:rPr>
          <w:rFonts w:ascii="Times New Roman" w:hAnsi="Times New Roman"/>
          <w:sz w:val="24"/>
          <w:szCs w:val="24"/>
        </w:rPr>
        <w:t>го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предаде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DE0">
        <w:rPr>
          <w:rFonts w:ascii="Times New Roman" w:hAnsi="Times New Roman"/>
          <w:sz w:val="24"/>
          <w:szCs w:val="24"/>
        </w:rPr>
        <w:t>на</w:t>
      </w:r>
      <w:proofErr w:type="spellEnd"/>
      <w:r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5DE0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283151" w:rsidRPr="00195D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83151" w:rsidRPr="00195DE0">
        <w:rPr>
          <w:rFonts w:ascii="Times New Roman" w:hAnsi="Times New Roman"/>
          <w:sz w:val="24"/>
          <w:szCs w:val="24"/>
        </w:rPr>
        <w:t>ведно</w:t>
      </w:r>
      <w:proofErr w:type="spellEnd"/>
      <w:proofErr w:type="gramEnd"/>
      <w:r w:rsidR="00283151" w:rsidRPr="00195DE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83151" w:rsidRPr="00195DE0">
        <w:rPr>
          <w:rFonts w:ascii="Times New Roman" w:hAnsi="Times New Roman"/>
          <w:sz w:val="24"/>
          <w:szCs w:val="24"/>
        </w:rPr>
        <w:t>цялата</w:t>
      </w:r>
      <w:proofErr w:type="spellEnd"/>
      <w:r w:rsidR="00283151" w:rsidRPr="00195D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151" w:rsidRPr="00195DE0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Pr="00195DE0">
        <w:rPr>
          <w:rFonts w:ascii="Times New Roman" w:hAnsi="Times New Roman"/>
          <w:sz w:val="24"/>
          <w:szCs w:val="24"/>
        </w:rPr>
        <w:t>.</w:t>
      </w: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</w:p>
    <w:p w:rsidR="001822F8" w:rsidRPr="00137127" w:rsidRDefault="009D2D07" w:rsidP="001822F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B7012">
        <w:rPr>
          <w:rFonts w:ascii="Times New Roman" w:hAnsi="Times New Roman"/>
          <w:b/>
          <w:sz w:val="24"/>
          <w:szCs w:val="24"/>
        </w:rPr>
        <w:t xml:space="preserve">КОМИСИЯ:   </w:t>
      </w:r>
      <w:r w:rsidR="00137127">
        <w:rPr>
          <w:rFonts w:ascii="Times New Roman" w:hAnsi="Times New Roman"/>
          <w:b/>
          <w:sz w:val="24"/>
          <w:szCs w:val="24"/>
        </w:rPr>
        <w:t>(П) чл.2 ЗЗЛД</w:t>
      </w:r>
    </w:p>
    <w:p w:rsidR="001822F8" w:rsidRDefault="001822F8" w:rsidP="00137127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D2D07" w:rsidRPr="00FB7012" w:rsidRDefault="009D2D07" w:rsidP="009D2D07">
      <w:pPr>
        <w:jc w:val="both"/>
        <w:rPr>
          <w:rFonts w:ascii="Times New Roman" w:hAnsi="Times New Roman"/>
          <w:b/>
          <w:sz w:val="24"/>
          <w:szCs w:val="24"/>
        </w:rPr>
      </w:pPr>
      <w:r w:rsidRPr="00FB7012">
        <w:rPr>
          <w:rFonts w:ascii="Times New Roman" w:hAnsi="Times New Roman"/>
          <w:b/>
          <w:sz w:val="24"/>
          <w:szCs w:val="24"/>
        </w:rPr>
        <w:t xml:space="preserve">    </w:t>
      </w:r>
    </w:p>
    <w:p w:rsidR="009D2D07" w:rsidRPr="00FB7012" w:rsidRDefault="009D2D07" w:rsidP="009D2D07">
      <w:pPr>
        <w:tabs>
          <w:tab w:val="left" w:pos="800"/>
          <w:tab w:val="left" w:pos="10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9D2D07" w:rsidRPr="00FB7012" w:rsidRDefault="009D2D07" w:rsidP="009D2D0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5A31" w:rsidRPr="004E5A31" w:rsidRDefault="004E5A31" w:rsidP="004E5A31">
      <w:pPr>
        <w:ind w:right="304"/>
        <w:jc w:val="both"/>
        <w:rPr>
          <w:rFonts w:ascii="Times New Roman" w:hAnsi="Times New Roman"/>
          <w:sz w:val="24"/>
          <w:szCs w:val="24"/>
        </w:rPr>
      </w:pPr>
      <w:r w:rsidRPr="004E5A31">
        <w:rPr>
          <w:rFonts w:ascii="Times New Roman" w:hAnsi="Times New Roman"/>
          <w:b/>
          <w:sz w:val="24"/>
          <w:szCs w:val="24"/>
        </w:rPr>
        <w:t>УТВЪРДИЛ</w:t>
      </w:r>
      <w:r w:rsidRPr="004E5A31">
        <w:rPr>
          <w:rFonts w:ascii="Times New Roman" w:hAnsi="Times New Roman"/>
          <w:sz w:val="24"/>
          <w:szCs w:val="24"/>
        </w:rPr>
        <w:t xml:space="preserve"> </w:t>
      </w:r>
    </w:p>
    <w:p w:rsidR="004E5A31" w:rsidRPr="00137127" w:rsidRDefault="004E5A31" w:rsidP="004E5A3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E5A31">
        <w:rPr>
          <w:rFonts w:ascii="Times New Roman" w:hAnsi="Times New Roman"/>
          <w:b/>
          <w:sz w:val="24"/>
          <w:szCs w:val="24"/>
        </w:rPr>
        <w:t>ВЪЗЛОЖИТЕЛ</w:t>
      </w:r>
      <w:r w:rsidRPr="004E5A31">
        <w:rPr>
          <w:rFonts w:ascii="Times New Roman" w:hAnsi="Times New Roman"/>
          <w:sz w:val="24"/>
          <w:szCs w:val="24"/>
        </w:rPr>
        <w:t xml:space="preserve">: </w:t>
      </w:r>
      <w:r w:rsidR="001371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7127" w:rsidRPr="00137127">
        <w:rPr>
          <w:rFonts w:ascii="Times New Roman" w:hAnsi="Times New Roman"/>
          <w:b/>
          <w:sz w:val="24"/>
          <w:szCs w:val="24"/>
          <w:lang w:val="bg-BG"/>
        </w:rPr>
        <w:t>(П) чл.2 ЗЗЛД</w:t>
      </w:r>
    </w:p>
    <w:p w:rsidR="004E5A31" w:rsidRPr="004E5A31" w:rsidRDefault="004E5A31" w:rsidP="004E5A31">
      <w:pPr>
        <w:jc w:val="both"/>
        <w:rPr>
          <w:rFonts w:ascii="Times New Roman" w:hAnsi="Times New Roman"/>
          <w:sz w:val="24"/>
          <w:szCs w:val="24"/>
        </w:rPr>
      </w:pPr>
      <w:r w:rsidRPr="004E5A3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5A31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4E5A31">
        <w:rPr>
          <w:rFonts w:ascii="Times New Roman" w:hAnsi="Times New Roman"/>
          <w:sz w:val="24"/>
          <w:szCs w:val="24"/>
        </w:rPr>
        <w:t>инж.Милчо</w:t>
      </w:r>
      <w:proofErr w:type="spellEnd"/>
      <w:r w:rsidRPr="004E5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A31">
        <w:rPr>
          <w:rFonts w:ascii="Times New Roman" w:hAnsi="Times New Roman"/>
          <w:sz w:val="24"/>
          <w:szCs w:val="24"/>
        </w:rPr>
        <w:t>Лалов</w:t>
      </w:r>
      <w:proofErr w:type="spellEnd"/>
      <w:r w:rsidRPr="004E5A31">
        <w:rPr>
          <w:rFonts w:ascii="Times New Roman" w:hAnsi="Times New Roman"/>
          <w:sz w:val="24"/>
          <w:szCs w:val="24"/>
        </w:rPr>
        <w:t>/</w:t>
      </w:r>
    </w:p>
    <w:p w:rsidR="00FB4848" w:rsidRPr="004E5A31" w:rsidRDefault="00FB4848">
      <w:pPr>
        <w:rPr>
          <w:rFonts w:ascii="Times New Roman" w:hAnsi="Times New Roman"/>
          <w:sz w:val="24"/>
          <w:szCs w:val="24"/>
        </w:rPr>
      </w:pPr>
    </w:p>
    <w:sectPr w:rsidR="00FB4848" w:rsidRPr="004E5A31" w:rsidSect="00624B4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19A"/>
    <w:rsid w:val="00137127"/>
    <w:rsid w:val="001822F8"/>
    <w:rsid w:val="00195DE0"/>
    <w:rsid w:val="00283151"/>
    <w:rsid w:val="002D7C42"/>
    <w:rsid w:val="00494927"/>
    <w:rsid w:val="00494A94"/>
    <w:rsid w:val="004E5A31"/>
    <w:rsid w:val="00624B40"/>
    <w:rsid w:val="006C2686"/>
    <w:rsid w:val="006E75FF"/>
    <w:rsid w:val="009D2D07"/>
    <w:rsid w:val="00AA719A"/>
    <w:rsid w:val="00BF562B"/>
    <w:rsid w:val="00C47E60"/>
    <w:rsid w:val="00CD5075"/>
    <w:rsid w:val="00D96C24"/>
    <w:rsid w:val="00F25E7E"/>
    <w:rsid w:val="00FA5136"/>
    <w:rsid w:val="00FB4848"/>
    <w:rsid w:val="00FB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9A"/>
    <w:pPr>
      <w:spacing w:before="53" w:after="0" w:line="240" w:lineRule="auto"/>
      <w:ind w:right="68"/>
      <w:jc w:val="center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ен текст32"/>
    <w:uiPriority w:val="99"/>
    <w:rsid w:val="00C47E60"/>
    <w:rPr>
      <w:rFonts w:cs="Times New Roman"/>
      <w:noProof/>
      <w:sz w:val="21"/>
      <w:szCs w:val="21"/>
      <w:shd w:val="clear" w:color="auto" w:fill="FFFFFF"/>
    </w:rPr>
  </w:style>
  <w:style w:type="character" w:customStyle="1" w:styleId="FontStyle87">
    <w:name w:val="Font Style87"/>
    <w:basedOn w:val="a0"/>
    <w:uiPriority w:val="99"/>
    <w:rsid w:val="009D2D0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9D2D07"/>
    <w:pPr>
      <w:widowControl w:val="0"/>
      <w:autoSpaceDE w:val="0"/>
      <w:autoSpaceDN w:val="0"/>
      <w:adjustRightInd w:val="0"/>
      <w:spacing w:before="0"/>
      <w:ind w:right="0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213">
    <w:name w:val="Font Style213"/>
    <w:basedOn w:val="a0"/>
    <w:uiPriority w:val="99"/>
    <w:rsid w:val="009D2D0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2">
    <w:name w:val="Font Style272"/>
    <w:basedOn w:val="a0"/>
    <w:uiPriority w:val="99"/>
    <w:rsid w:val="009D2D0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7">
    <w:name w:val="Font Style297"/>
    <w:basedOn w:val="a0"/>
    <w:uiPriority w:val="99"/>
    <w:rsid w:val="009D2D07"/>
    <w:rPr>
      <w:rFonts w:ascii="Times New Roman" w:hAnsi="Times New Roman" w:cs="Times New Roman"/>
      <w:sz w:val="18"/>
      <w:szCs w:val="18"/>
    </w:rPr>
  </w:style>
  <w:style w:type="character" w:customStyle="1" w:styleId="FontStyle285">
    <w:name w:val="Font Style285"/>
    <w:basedOn w:val="a0"/>
    <w:uiPriority w:val="99"/>
    <w:rsid w:val="009D2D0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uiPriority w:val="99"/>
    <w:rsid w:val="009D2D07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9D2D0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разредка Знак"/>
    <w:link w:val="a3"/>
    <w:uiPriority w:val="1"/>
    <w:locked/>
    <w:rsid w:val="009D2D07"/>
    <w:rPr>
      <w:rFonts w:ascii="Calibri" w:eastAsia="Times New Roman" w:hAnsi="Calibri" w:cs="Times New Roman"/>
      <w:lang w:val="en-US"/>
    </w:rPr>
  </w:style>
  <w:style w:type="paragraph" w:customStyle="1" w:styleId="firstline">
    <w:name w:val="firstline"/>
    <w:basedOn w:val="a"/>
    <w:rsid w:val="001822F8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24</cp:revision>
  <cp:lastPrinted>2018-05-15T13:04:00Z</cp:lastPrinted>
  <dcterms:created xsi:type="dcterms:W3CDTF">2018-05-14T14:42:00Z</dcterms:created>
  <dcterms:modified xsi:type="dcterms:W3CDTF">2018-05-16T11:24:00Z</dcterms:modified>
</cp:coreProperties>
</file>